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3152"/>
          <w:rtl w:val="0"/>
        </w:rPr>
        <w:t xml:space="preserve">KANNUR MEDICAL COLLEGE. DEPARTMENT OF PHYSIOLOGY                                                                                                                  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3152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3152"/>
          <w:rtl w:val="0"/>
        </w:rPr>
        <w:t xml:space="preserve"> MBBS – 2016 BATCH </w:t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3152"/>
          <w:rtl w:val="0"/>
        </w:rPr>
        <w:t xml:space="preserve">TEACHING SCHEDULE FOR THEORY –OCTOBER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09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1800"/>
        <w:gridCol w:w="3762"/>
        <w:gridCol w:w="18"/>
        <w:gridCol w:w="2700"/>
        <w:tblGridChange w:id="0">
          <w:tblGrid>
            <w:gridCol w:w="1818"/>
            <w:gridCol w:w="1800"/>
            <w:gridCol w:w="3762"/>
            <w:gridCol w:w="18"/>
            <w:gridCol w:w="2700"/>
          </w:tblGrid>
        </w:tblGridChange>
      </w:tblGrid>
      <w:tr>
        <w:trPr>
          <w:trHeight w:val="32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TOPIC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STAFF</w:t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04/10/16 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8.00- 9.00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Homeostasis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vidya</w:t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05/10/16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9.00- 10.00AM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Introduction: cell , cell organelles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 Anita</w:t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06/10/16 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8.00-9.00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Cell membrane, cell functions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Satish</w:t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07/10/16 SATURDAY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9.00- 10.00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Transport across the cell membrane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Kahkashan</w:t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13/10/16 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8.00-9.00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Body fluids  compartments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Dr.Vidya </w:t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15/10/16 SATURDAY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9.00- 10.00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Transport across the cell membrane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Kahkashan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12.15- 1.00 PM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Transport across the cell membrane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Kahkashan</w:t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17/10/16 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9.00-10.00 AM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Introduction : Blood components  and functions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Dr.Anita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10.00 -11.00 AM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Nerve muscle physiology 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Dr.Vidya</w:t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18/10/16 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8.00- 9.00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Plasma proteins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Dr.Anita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12.15- 1.00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NMP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Dr.Vidya</w:t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19/10/16 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9.00- 10.00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RBC – properties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Dr.Anita</w:t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20/10/16 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8.00- 9.00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NMP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Dr.Vidya</w:t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22/10/16 SATURDAY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9.00-10.00AM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NMP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Dr.Vidya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12.15- 1.15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Haemoglobin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Dr.Anita</w:t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24/10/16 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9.00-10.00 AM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NMP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Dr.Vidya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10.00-11.00 AM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RBC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Dr.Anita</w:t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25/10/16 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8.00- 9.00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Revision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Dr.Satish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12.15- 1.00 PM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NMP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Kahkashan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26/10/16 WEDNESDAY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9.00- 10.00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WBC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Dr.Vidya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27/10/16 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8.00- 9.00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WBC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Dr.Vidya</w:t>
            </w:r>
          </w:p>
        </w:tc>
      </w:tr>
    </w:tbl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900" w:top="540" w:left="1440" w:right="1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